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B818" w14:textId="77777777" w:rsidR="00BF2212" w:rsidRPr="003017A5" w:rsidRDefault="00BF2212" w:rsidP="00BF2212">
      <w:pPr>
        <w:rPr>
          <w:rFonts w:ascii="BIZ UDPゴシック" w:eastAsia="BIZ UDPゴシック" w:hAnsi="BIZ UDPゴシック"/>
          <w:color w:val="000000" w:themeColor="text1"/>
          <w:lang w:eastAsia="ja-JP"/>
        </w:rPr>
      </w:pPr>
      <w:r w:rsidRPr="00857805">
        <w:rPr>
          <w:rFonts w:ascii="BIZ UDPゴシック" w:eastAsia="BIZ UDPゴシック" w:hAnsi="BIZ UDPゴシック"/>
        </w:rPr>
        <w:t>高齢者</w:t>
      </w:r>
      <w:r w:rsidRPr="00857805">
        <w:rPr>
          <w:rFonts w:ascii="BIZ UDPゴシック" w:eastAsia="BIZ UDPゴシック" w:hAnsi="BIZ UDPゴシック" w:hint="eastAsia"/>
          <w:lang w:eastAsia="ja-JP"/>
        </w:rPr>
        <w:t>の人権</w:t>
      </w:r>
      <w:r w:rsidRPr="00857805">
        <w:rPr>
          <w:rFonts w:ascii="BIZ UDPゴシック" w:eastAsia="BIZ UDPゴシック" w:hAnsi="BIZ UDPゴシック"/>
        </w:rPr>
        <w:t>に関する政府間作業部会</w:t>
      </w:r>
      <w:r>
        <w:rPr>
          <w:rFonts w:ascii="BIZ UDPゴシック" w:eastAsia="BIZ UDPゴシック" w:hAnsi="BIZ UDPゴシック" w:hint="eastAsia"/>
          <w:lang w:eastAsia="ja-JP"/>
        </w:rPr>
        <w:t xml:space="preserve">　</w:t>
      </w:r>
      <w:r w:rsidRPr="003017A5">
        <w:rPr>
          <w:rFonts w:ascii="BIZ UDPゴシック" w:eastAsia="BIZ UDPゴシック" w:hAnsi="BIZ UDPゴシック" w:hint="eastAsia"/>
          <w:color w:val="000000" w:themeColor="text1"/>
          <w:lang w:eastAsia="ja-JP"/>
        </w:rPr>
        <w:t>IGWG</w:t>
      </w:r>
      <w:r w:rsidRPr="003017A5">
        <w:rPr>
          <w:rFonts w:ascii="BIZ UDPゴシック" w:eastAsia="BIZ UDPゴシック" w:hAnsi="BIZ UDPゴシック"/>
          <w:color w:val="000000" w:themeColor="text1"/>
        </w:rPr>
        <w:t>組織会合</w:t>
      </w:r>
      <w:r>
        <w:rPr>
          <w:rFonts w:ascii="BIZ UDPゴシック" w:eastAsia="BIZ UDPゴシック" w:hAnsi="BIZ UDPゴシック" w:hint="eastAsia"/>
          <w:color w:val="000000" w:themeColor="text1"/>
          <w:lang w:eastAsia="ja-JP"/>
        </w:rPr>
        <w:t xml:space="preserve">　</w:t>
      </w:r>
      <w:r w:rsidRPr="003017A5">
        <w:rPr>
          <w:rFonts w:ascii="BIZ UDPゴシック" w:eastAsia="BIZ UDPゴシック" w:hAnsi="BIZ UDPゴシック" w:hint="eastAsia"/>
          <w:color w:val="000000" w:themeColor="text1"/>
          <w:lang w:eastAsia="ja-JP"/>
        </w:rPr>
        <w:t>パネル</w:t>
      </w:r>
      <w:r>
        <w:rPr>
          <w:rFonts w:ascii="BIZ UDPゴシック" w:eastAsia="BIZ UDPゴシック" w:hAnsi="BIZ UDPゴシック" w:hint="eastAsia"/>
          <w:color w:val="000000" w:themeColor="text1"/>
          <w:lang w:eastAsia="ja-JP"/>
        </w:rPr>
        <w:t>１</w:t>
      </w:r>
      <w:r w:rsidRPr="003017A5">
        <w:rPr>
          <w:rFonts w:ascii="BIZ UDPゴシック" w:eastAsia="BIZ UDPゴシック" w:hAnsi="BIZ UDPゴシック" w:hint="eastAsia"/>
          <w:color w:val="000000" w:themeColor="text1"/>
          <w:lang w:eastAsia="ja-JP"/>
        </w:rPr>
        <w:t xml:space="preserve">　（</w:t>
      </w:r>
      <w:r w:rsidRPr="00561C04">
        <w:rPr>
          <w:rFonts w:ascii="BIZ UDPゴシック" w:eastAsia="BIZ UDPゴシック" w:hAnsi="BIZ UDPゴシック" w:hint="eastAsia"/>
          <w:lang w:eastAsia="ja-JP"/>
        </w:rPr>
        <w:t>背景の確認</w:t>
      </w:r>
      <w:r w:rsidRPr="003017A5">
        <w:rPr>
          <w:rFonts w:ascii="BIZ UDPゴシック" w:eastAsia="BIZ UDPゴシック" w:hAnsi="BIZ UDPゴシック" w:hint="eastAsia"/>
          <w:color w:val="000000" w:themeColor="text1"/>
          <w:lang w:eastAsia="ja-JP"/>
        </w:rPr>
        <w:t>）</w:t>
      </w:r>
    </w:p>
    <w:p w14:paraId="20803C06" w14:textId="77777777" w:rsidR="00BF2212" w:rsidRPr="003017A5" w:rsidRDefault="00BF2212" w:rsidP="00BF2212">
      <w:pPr>
        <w:rPr>
          <w:color w:val="000000" w:themeColor="text1"/>
          <w:lang w:eastAsia="ja-JP"/>
        </w:rPr>
      </w:pPr>
      <w:r w:rsidRPr="003017A5">
        <w:rPr>
          <w:color w:val="000000" w:themeColor="text1"/>
          <w:lang w:eastAsia="ja-JP"/>
        </w:rPr>
        <w:t>2026年2月1</w:t>
      </w:r>
      <w:r>
        <w:rPr>
          <w:rFonts w:hint="eastAsia"/>
          <w:color w:val="000000" w:themeColor="text1"/>
          <w:lang w:eastAsia="ja-JP"/>
        </w:rPr>
        <w:t>8</w:t>
      </w:r>
      <w:r w:rsidRPr="003017A5">
        <w:rPr>
          <w:color w:val="000000" w:themeColor="text1"/>
          <w:lang w:eastAsia="ja-JP"/>
        </w:rPr>
        <w:t>日</w:t>
      </w:r>
    </w:p>
    <w:p w14:paraId="728B7AB5" w14:textId="77777777" w:rsidR="00BF2212" w:rsidRDefault="00BF2212" w:rsidP="00BF2212">
      <w:pPr>
        <w:rPr>
          <w:rFonts w:ascii="BIZ UDPゴシック" w:eastAsia="BIZ UDPゴシック" w:hAnsi="BIZ UDPゴシック"/>
          <w:lang w:eastAsia="ja-JP"/>
        </w:rPr>
      </w:pPr>
    </w:p>
    <w:p w14:paraId="6BEF6B5C" w14:textId="77777777" w:rsidR="00BF2212" w:rsidRPr="00472F60" w:rsidRDefault="00BF2212" w:rsidP="00BF2212">
      <w:pPr>
        <w:rPr>
          <w:rFonts w:ascii="BIZ UDPゴシック" w:eastAsia="BIZ UDPゴシック" w:hAnsi="BIZ UDPゴシック"/>
          <w:lang w:eastAsia="ja-JP"/>
        </w:rPr>
      </w:pPr>
      <w:r w:rsidRPr="00472F60">
        <w:rPr>
          <w:rFonts w:ascii="BIZ UDPゴシック" w:eastAsia="BIZ UDPゴシック" w:hAnsi="BIZ UDPゴシック" w:hint="eastAsia"/>
          <w:lang w:eastAsia="ja-JP"/>
        </w:rPr>
        <w:t xml:space="preserve">③　</w:t>
      </w:r>
      <w:r w:rsidRPr="00472F60">
        <w:rPr>
          <w:rFonts w:ascii="BIZ UDPゴシック" w:eastAsia="BIZ UDPゴシック" w:hAnsi="BIZ UDPゴシック"/>
          <w:lang w:eastAsia="ja-JP"/>
        </w:rPr>
        <w:t>アオイフェ・ノーラン教授、欧州社会権委員会委員長</w:t>
      </w:r>
    </w:p>
    <w:p w14:paraId="5AF6A121" w14:textId="77777777" w:rsidR="00BF2212" w:rsidRDefault="00BF2212" w:rsidP="00BF2212">
      <w:pPr>
        <w:ind w:firstLineChars="100" w:firstLine="210"/>
        <w:rPr>
          <w:lang w:eastAsia="ja-JP"/>
        </w:rPr>
      </w:pPr>
    </w:p>
    <w:p w14:paraId="429060CE" w14:textId="77777777" w:rsidR="00BF2212" w:rsidRDefault="00BF2212" w:rsidP="00BF2212">
      <w:pPr>
        <w:ind w:firstLineChars="100" w:firstLine="210"/>
        <w:rPr>
          <w:lang w:eastAsia="ja-JP"/>
        </w:rPr>
      </w:pPr>
      <w:r>
        <w:rPr>
          <w:rFonts w:hint="eastAsia"/>
          <w:lang w:eastAsia="ja-JP"/>
        </w:rPr>
        <w:t>よく</w:t>
      </w:r>
      <w:r>
        <w:rPr>
          <w:lang w:eastAsia="ja-JP"/>
        </w:rPr>
        <w:t>「ミニ条約」と見なされる第23条</w:t>
      </w:r>
      <w:r>
        <w:rPr>
          <w:rFonts w:hint="eastAsia"/>
          <w:lang w:eastAsia="ja-JP"/>
        </w:rPr>
        <w:t>（訳注　欧州社会憲章第23条は「高齢者の社会保障の権利」。この憲章の審査機関が欧州社会権委員会。）</w:t>
      </w:r>
      <w:r>
        <w:rPr>
          <w:lang w:eastAsia="ja-JP"/>
        </w:rPr>
        <w:t>や地域的人権</w:t>
      </w:r>
      <w:r>
        <w:rPr>
          <w:rFonts w:hint="eastAsia"/>
          <w:lang w:eastAsia="ja-JP"/>
        </w:rPr>
        <w:t>機関の</w:t>
      </w:r>
      <w:r>
        <w:rPr>
          <w:lang w:eastAsia="ja-JP"/>
        </w:rPr>
        <w:t>経験を踏まえ</w:t>
      </w:r>
      <w:r>
        <w:rPr>
          <w:rFonts w:hint="eastAsia"/>
          <w:lang w:eastAsia="ja-JP"/>
        </w:rPr>
        <w:t>ると</w:t>
      </w:r>
      <w:r>
        <w:rPr>
          <w:lang w:eastAsia="ja-JP"/>
        </w:rPr>
        <w:t>、真に変革をもたら</w:t>
      </w:r>
      <w:r>
        <w:rPr>
          <w:rFonts w:hint="eastAsia"/>
          <w:lang w:eastAsia="ja-JP"/>
        </w:rPr>
        <w:t>すためには</w:t>
      </w:r>
      <w:r>
        <w:rPr>
          <w:lang w:eastAsia="ja-JP"/>
        </w:rPr>
        <w:t>、この新たな法的拘束力のある文書には</w:t>
      </w:r>
      <w:r>
        <w:rPr>
          <w:rFonts w:hint="eastAsia"/>
          <w:lang w:eastAsia="ja-JP"/>
        </w:rPr>
        <w:t>どん</w:t>
      </w:r>
      <w:r>
        <w:rPr>
          <w:lang w:eastAsia="ja-JP"/>
        </w:rPr>
        <w:t>な付加価値があり、またど</w:t>
      </w:r>
      <w:r>
        <w:rPr>
          <w:rFonts w:hint="eastAsia"/>
          <w:lang w:eastAsia="ja-JP"/>
        </w:rPr>
        <w:t>ん</w:t>
      </w:r>
      <w:r>
        <w:rPr>
          <w:lang w:eastAsia="ja-JP"/>
        </w:rPr>
        <w:t>な付加価値が必要だと考え</w:t>
      </w:r>
      <w:r>
        <w:rPr>
          <w:rFonts w:hint="eastAsia"/>
          <w:lang w:eastAsia="ja-JP"/>
        </w:rPr>
        <w:t>ます</w:t>
      </w:r>
      <w:r>
        <w:rPr>
          <w:lang w:eastAsia="ja-JP"/>
        </w:rPr>
        <w:t>か？</w:t>
      </w:r>
    </w:p>
    <w:p w14:paraId="37DE954E" w14:textId="77777777" w:rsidR="00BF2212" w:rsidRDefault="00BF2212" w:rsidP="00BF2212">
      <w:pPr>
        <w:ind w:firstLineChars="100" w:firstLine="210"/>
        <w:rPr>
          <w:lang w:eastAsia="ja-JP"/>
        </w:rPr>
      </w:pPr>
      <w:r>
        <w:rPr>
          <w:rFonts w:hint="eastAsia"/>
          <w:lang w:eastAsia="ja-JP"/>
        </w:rPr>
        <w:t>我々の</w:t>
      </w:r>
      <w:r>
        <w:rPr>
          <w:lang w:eastAsia="ja-JP"/>
        </w:rPr>
        <w:t>委員会は、</w:t>
      </w:r>
      <w:r>
        <w:rPr>
          <w:rFonts w:hint="eastAsia"/>
          <w:lang w:eastAsia="ja-JP"/>
        </w:rPr>
        <w:t>欧州</w:t>
      </w:r>
      <w:r>
        <w:rPr>
          <w:lang w:eastAsia="ja-JP"/>
        </w:rPr>
        <w:t>地域の人権法の強力かつ広範な規定を</w:t>
      </w:r>
      <w:r>
        <w:rPr>
          <w:rFonts w:hint="eastAsia"/>
          <w:lang w:eastAsia="ja-JP"/>
        </w:rPr>
        <w:t>もって</w:t>
      </w:r>
      <w:r>
        <w:rPr>
          <w:lang w:eastAsia="ja-JP"/>
        </w:rPr>
        <w:t>おり、</w:t>
      </w:r>
      <w:r>
        <w:rPr>
          <w:rFonts w:hint="eastAsia"/>
          <w:lang w:eastAsia="ja-JP"/>
        </w:rPr>
        <w:t>そ</w:t>
      </w:r>
      <w:r>
        <w:rPr>
          <w:lang w:eastAsia="ja-JP"/>
        </w:rPr>
        <w:t>れが高齢者が直面する市民的、経済的、社会的、政治的、あるいは文化的な</w:t>
      </w:r>
      <w:r>
        <w:rPr>
          <w:rFonts w:hint="eastAsia"/>
          <w:lang w:eastAsia="ja-JP"/>
        </w:rPr>
        <w:t>多分野の</w:t>
      </w:r>
      <w:r>
        <w:rPr>
          <w:lang w:eastAsia="ja-JP"/>
        </w:rPr>
        <w:t>権利の課題に適用されています。しかし</w:t>
      </w:r>
      <w:r>
        <w:rPr>
          <w:rFonts w:hint="eastAsia"/>
          <w:lang w:eastAsia="ja-JP"/>
        </w:rPr>
        <w:t>これは</w:t>
      </w:r>
      <w:r>
        <w:rPr>
          <w:lang w:eastAsia="ja-JP"/>
        </w:rPr>
        <w:t>、国際条約が不要であることを示唆する</w:t>
      </w:r>
      <w:r>
        <w:rPr>
          <w:rFonts w:hint="eastAsia"/>
          <w:lang w:eastAsia="ja-JP"/>
        </w:rPr>
        <w:t>ものではありません。逆に</w:t>
      </w:r>
      <w:r>
        <w:rPr>
          <w:lang w:eastAsia="ja-JP"/>
        </w:rPr>
        <w:t>、高齢者の権利を監視し、</w:t>
      </w:r>
      <w:r>
        <w:rPr>
          <w:rFonts w:hint="eastAsia"/>
          <w:lang w:eastAsia="ja-JP"/>
        </w:rPr>
        <w:t>その</w:t>
      </w:r>
      <w:r>
        <w:rPr>
          <w:lang w:eastAsia="ja-JP"/>
        </w:rPr>
        <w:t>権利主張を</w:t>
      </w:r>
      <w:r w:rsidRPr="002465D2">
        <w:rPr>
          <w:rFonts w:hint="eastAsia"/>
          <w:lang w:eastAsia="ja-JP"/>
        </w:rPr>
        <w:t>実現</w:t>
      </w:r>
      <w:r>
        <w:rPr>
          <w:lang w:eastAsia="ja-JP"/>
        </w:rPr>
        <w:t>する地域機関としての我々の経験は、国際レベルでそのような法的拘束力のある基準を持つことの重要性を裏付けています。高齢者の権利に関する国連条約は、いくつかの理由から真の付加価値をもたらすでしょう。</w:t>
      </w:r>
    </w:p>
    <w:p w14:paraId="71129C56" w14:textId="77777777" w:rsidR="00BF2212" w:rsidRDefault="00BF2212" w:rsidP="00BF2212">
      <w:pPr>
        <w:ind w:firstLineChars="100" w:firstLine="210"/>
        <w:rPr>
          <w:lang w:eastAsia="ja-JP"/>
        </w:rPr>
      </w:pPr>
      <w:r>
        <w:rPr>
          <w:lang w:eastAsia="ja-JP"/>
        </w:rPr>
        <w:t>第一に、それは国際レベルにおける空白を埋めることになります。欧州の地域</w:t>
      </w:r>
      <w:r>
        <w:rPr>
          <w:rFonts w:hint="eastAsia"/>
          <w:lang w:eastAsia="ja-JP"/>
        </w:rPr>
        <w:t>内</w:t>
      </w:r>
      <w:r>
        <w:rPr>
          <w:lang w:eastAsia="ja-JP"/>
        </w:rPr>
        <w:t>ではそのような空白は</w:t>
      </w:r>
      <w:r>
        <w:rPr>
          <w:rFonts w:hint="eastAsia"/>
          <w:lang w:eastAsia="ja-JP"/>
        </w:rPr>
        <w:t>ありません</w:t>
      </w:r>
      <w:r>
        <w:rPr>
          <w:lang w:eastAsia="ja-JP"/>
        </w:rPr>
        <w:t>が、地域の人権法では国際法の空白を埋め</w:t>
      </w:r>
      <w:r>
        <w:rPr>
          <w:rFonts w:hint="eastAsia"/>
          <w:lang w:eastAsia="ja-JP"/>
        </w:rPr>
        <w:t>られません</w:t>
      </w:r>
      <w:r>
        <w:rPr>
          <w:lang w:eastAsia="ja-JP"/>
        </w:rPr>
        <w:t>（地域機関の経験は、国際条約で採用される文言やアプローチ</w:t>
      </w:r>
      <w:r>
        <w:rPr>
          <w:rFonts w:hint="eastAsia"/>
          <w:lang w:eastAsia="ja-JP"/>
        </w:rPr>
        <w:t>に生かされる</w:t>
      </w:r>
      <w:r>
        <w:rPr>
          <w:lang w:eastAsia="ja-JP"/>
        </w:rPr>
        <w:t>べきです</w:t>
      </w:r>
      <w:r>
        <w:rPr>
          <w:rFonts w:hint="eastAsia"/>
          <w:lang w:eastAsia="ja-JP"/>
        </w:rPr>
        <w:t>が</w:t>
      </w:r>
      <w:r>
        <w:rPr>
          <w:lang w:eastAsia="ja-JP"/>
        </w:rPr>
        <w:t>）。</w:t>
      </w:r>
    </w:p>
    <w:p w14:paraId="720488A0" w14:textId="77777777" w:rsidR="00BF2212" w:rsidRDefault="00BF2212" w:rsidP="00BF2212">
      <w:pPr>
        <w:ind w:firstLineChars="100" w:firstLine="210"/>
        <w:rPr>
          <w:lang w:eastAsia="ja-JP"/>
        </w:rPr>
      </w:pPr>
      <w:r>
        <w:rPr>
          <w:lang w:eastAsia="ja-JP"/>
        </w:rPr>
        <w:t>第二に、このような条約</w:t>
      </w:r>
      <w:r w:rsidRPr="002465D2">
        <w:rPr>
          <w:rFonts w:hint="eastAsia"/>
          <w:lang w:eastAsia="ja-JP"/>
        </w:rPr>
        <w:t>が存在していることで</w:t>
      </w:r>
      <w:r>
        <w:rPr>
          <w:lang w:eastAsia="ja-JP"/>
        </w:rPr>
        <w:t>、注目を必要としているにもかかわらず、現在、国連条約</w:t>
      </w:r>
      <w:r>
        <w:rPr>
          <w:rFonts w:hint="eastAsia"/>
          <w:lang w:eastAsia="ja-JP"/>
        </w:rPr>
        <w:t>体</w:t>
      </w:r>
      <w:r>
        <w:rPr>
          <w:lang w:eastAsia="ja-JP"/>
        </w:rPr>
        <w:t>（</w:t>
      </w:r>
      <w:r>
        <w:rPr>
          <w:rFonts w:hint="eastAsia"/>
          <w:lang w:eastAsia="ja-JP"/>
        </w:rPr>
        <w:t>我々のカウンターパートの</w:t>
      </w:r>
      <w:r>
        <w:rPr>
          <w:lang w:eastAsia="ja-JP"/>
        </w:rPr>
        <w:t>国連経済・社会・文化権利委員会を含む）から十分な注目を受けていない人々のグループに、確実に焦点が当てられるようになります。</w:t>
      </w:r>
      <w:r>
        <w:rPr>
          <w:rFonts w:hint="eastAsia"/>
          <w:lang w:eastAsia="ja-JP"/>
        </w:rPr>
        <w:t>我々の</w:t>
      </w:r>
      <w:r>
        <w:rPr>
          <w:lang w:eastAsia="ja-JP"/>
        </w:rPr>
        <w:t>委員会の経験から、高齢者の権利に関する具体的な規定の付加価値は明らかです。そのような規定（および高齢者の権利に関する国際条約）は、高齢者が直面する権利上の課題への取り組みを義務付け</w:t>
      </w:r>
      <w:r>
        <w:rPr>
          <w:rFonts w:hint="eastAsia"/>
          <w:lang w:eastAsia="ja-JP"/>
        </w:rPr>
        <w:t>ま</w:t>
      </w:r>
      <w:r>
        <w:rPr>
          <w:lang w:eastAsia="ja-JP"/>
        </w:rPr>
        <w:t xml:space="preserve">す。 </w:t>
      </w:r>
    </w:p>
    <w:p w14:paraId="32FA45DB" w14:textId="77777777" w:rsidR="00BF2212" w:rsidRDefault="00BF2212" w:rsidP="00BF2212">
      <w:pPr>
        <w:ind w:firstLineChars="100" w:firstLine="210"/>
        <w:rPr>
          <w:lang w:eastAsia="ja-JP"/>
        </w:rPr>
      </w:pPr>
      <w:r>
        <w:rPr>
          <w:lang w:eastAsia="ja-JP"/>
        </w:rPr>
        <w:t>第三に、国際条約は、国際法の下で高齢者の権利を、権利を枠組みとした交差的な視点から取り組むことを可能に</w:t>
      </w:r>
      <w:r>
        <w:rPr>
          <w:rFonts w:hint="eastAsia"/>
          <w:lang w:eastAsia="ja-JP"/>
        </w:rPr>
        <w:t>します。</w:t>
      </w:r>
      <w:r>
        <w:rPr>
          <w:lang w:eastAsia="ja-JP"/>
        </w:rPr>
        <w:t xml:space="preserve">これは現在、国際レベルでは実現できていません。 </w:t>
      </w:r>
    </w:p>
    <w:p w14:paraId="4656B368" w14:textId="77777777" w:rsidR="00BF2212" w:rsidRDefault="00BF2212" w:rsidP="00BF2212">
      <w:pPr>
        <w:ind w:firstLineChars="100" w:firstLine="210"/>
        <w:rPr>
          <w:lang w:eastAsia="ja-JP"/>
        </w:rPr>
      </w:pPr>
      <w:r>
        <w:rPr>
          <w:lang w:eastAsia="ja-JP"/>
        </w:rPr>
        <w:t>第四にこれに関連して、国際条約は、高齢者が直面する</w:t>
      </w:r>
      <w:r>
        <w:rPr>
          <w:rFonts w:hint="eastAsia"/>
          <w:lang w:eastAsia="ja-JP"/>
        </w:rPr>
        <w:t>エイジズム</w:t>
      </w:r>
      <w:r>
        <w:rPr>
          <w:lang w:eastAsia="ja-JP"/>
        </w:rPr>
        <w:t>によ</w:t>
      </w:r>
      <w:r>
        <w:rPr>
          <w:rFonts w:hint="eastAsia"/>
          <w:lang w:eastAsia="ja-JP"/>
        </w:rPr>
        <w:t>る</w:t>
      </w:r>
      <w:r>
        <w:rPr>
          <w:lang w:eastAsia="ja-JP"/>
        </w:rPr>
        <w:t>複雑な問題に取り組む権限を</w:t>
      </w:r>
      <w:r>
        <w:rPr>
          <w:rFonts w:hint="eastAsia"/>
          <w:lang w:eastAsia="ja-JP"/>
        </w:rPr>
        <w:t>、</w:t>
      </w:r>
      <w:r>
        <w:rPr>
          <w:lang w:eastAsia="ja-JP"/>
        </w:rPr>
        <w:t>対応する条約</w:t>
      </w:r>
      <w:r>
        <w:rPr>
          <w:rFonts w:hint="eastAsia"/>
          <w:lang w:eastAsia="ja-JP"/>
        </w:rPr>
        <w:t>体</w:t>
      </w:r>
      <w:r>
        <w:rPr>
          <w:lang w:eastAsia="ja-JP"/>
        </w:rPr>
        <w:t>に与えることになります。</w:t>
      </w:r>
      <w:r>
        <w:rPr>
          <w:rFonts w:hint="eastAsia"/>
          <w:lang w:eastAsia="ja-JP"/>
        </w:rPr>
        <w:t>これは</w:t>
      </w:r>
      <w:r>
        <w:rPr>
          <w:lang w:eastAsia="ja-JP"/>
        </w:rPr>
        <w:t>第23条が</w:t>
      </w:r>
      <w:r>
        <w:rPr>
          <w:rFonts w:hint="eastAsia"/>
          <w:lang w:eastAsia="ja-JP"/>
        </w:rPr>
        <w:t>、</w:t>
      </w:r>
      <w:r>
        <w:rPr>
          <w:lang w:eastAsia="ja-JP"/>
        </w:rPr>
        <w:t>高齢者が直面する</w:t>
      </w:r>
      <w:r>
        <w:rPr>
          <w:rFonts w:hint="eastAsia"/>
          <w:lang w:eastAsia="ja-JP"/>
        </w:rPr>
        <w:t>エイジズム</w:t>
      </w:r>
      <w:r>
        <w:rPr>
          <w:lang w:eastAsia="ja-JP"/>
        </w:rPr>
        <w:t>による複雑な問題に取り組む権限を</w:t>
      </w:r>
      <w:r>
        <w:rPr>
          <w:rFonts w:hint="eastAsia"/>
          <w:lang w:eastAsia="ja-JP"/>
        </w:rPr>
        <w:t>我々の</w:t>
      </w:r>
      <w:r>
        <w:rPr>
          <w:lang w:eastAsia="ja-JP"/>
        </w:rPr>
        <w:t>委員会に与えているのと同</w:t>
      </w:r>
      <w:r>
        <w:rPr>
          <w:rFonts w:hint="eastAsia"/>
          <w:lang w:eastAsia="ja-JP"/>
        </w:rPr>
        <w:t>じです。</w:t>
      </w:r>
      <w:r>
        <w:rPr>
          <w:lang w:eastAsia="ja-JP"/>
        </w:rPr>
        <w:t>この取り組みは、直接・間接に他の条約</w:t>
      </w:r>
      <w:r>
        <w:rPr>
          <w:rFonts w:hint="eastAsia"/>
          <w:lang w:eastAsia="ja-JP"/>
        </w:rPr>
        <w:t>体</w:t>
      </w:r>
      <w:r>
        <w:rPr>
          <w:lang w:eastAsia="ja-JP"/>
        </w:rPr>
        <w:t>の活動にも寄与</w:t>
      </w:r>
      <w:r>
        <w:rPr>
          <w:rFonts w:hint="eastAsia"/>
          <w:lang w:eastAsia="ja-JP"/>
        </w:rPr>
        <w:t>し</w:t>
      </w:r>
      <w:r>
        <w:rPr>
          <w:lang w:eastAsia="ja-JP"/>
        </w:rPr>
        <w:t xml:space="preserve">ます。  </w:t>
      </w:r>
    </w:p>
    <w:p w14:paraId="072D7640" w14:textId="77777777" w:rsidR="00BF2212" w:rsidRDefault="00BF2212" w:rsidP="00BF2212">
      <w:pPr>
        <w:ind w:firstLineChars="100" w:firstLine="210"/>
        <w:rPr>
          <w:lang w:eastAsia="ja-JP"/>
        </w:rPr>
      </w:pPr>
      <w:r>
        <w:rPr>
          <w:lang w:eastAsia="ja-JP"/>
        </w:rPr>
        <w:t>第五の理由は、国際レベルにおける既存の空白が地域の人権機関に与える影響に関連します。</w:t>
      </w:r>
      <w:r>
        <w:rPr>
          <w:rFonts w:hint="eastAsia"/>
          <w:lang w:eastAsia="ja-JP"/>
        </w:rPr>
        <w:t>我々の</w:t>
      </w:r>
      <w:r>
        <w:rPr>
          <w:lang w:eastAsia="ja-JP"/>
        </w:rPr>
        <w:t>委員会は、第23条および高齢者の権利に関する活動を大幅に拡大してき</w:t>
      </w:r>
      <w:r>
        <w:rPr>
          <w:rFonts w:hint="eastAsia"/>
          <w:lang w:eastAsia="ja-JP"/>
        </w:rPr>
        <w:t>まし</w:t>
      </w:r>
      <w:r>
        <w:rPr>
          <w:lang w:eastAsia="ja-JP"/>
        </w:rPr>
        <w:t>たが、依然として非常に初期の段階にあ</w:t>
      </w:r>
      <w:r>
        <w:rPr>
          <w:rFonts w:hint="eastAsia"/>
          <w:lang w:eastAsia="ja-JP"/>
        </w:rPr>
        <w:t>ります</w:t>
      </w:r>
      <w:r>
        <w:rPr>
          <w:lang w:eastAsia="ja-JP"/>
        </w:rPr>
        <w:t>。</w:t>
      </w:r>
      <w:r>
        <w:rPr>
          <w:rFonts w:hint="eastAsia"/>
          <w:lang w:eastAsia="ja-JP"/>
        </w:rPr>
        <w:t>我々の</w:t>
      </w:r>
      <w:r>
        <w:rPr>
          <w:lang w:eastAsia="ja-JP"/>
        </w:rPr>
        <w:t>委員会や他の機関の活動において高齢者に相対的に注目が払われていないことは、少なくとも部分的には、この分野における国際条約の欠如に起因していることに、疑いの余地</w:t>
      </w:r>
      <w:r>
        <w:rPr>
          <w:rFonts w:hint="eastAsia"/>
          <w:lang w:eastAsia="ja-JP"/>
        </w:rPr>
        <w:t>は</w:t>
      </w:r>
      <w:r>
        <w:rPr>
          <w:lang w:eastAsia="ja-JP"/>
        </w:rPr>
        <w:t>ありません。</w:t>
      </w:r>
      <w:r>
        <w:rPr>
          <w:rFonts w:hint="eastAsia"/>
          <w:lang w:eastAsia="ja-JP"/>
        </w:rPr>
        <w:t>我々の</w:t>
      </w:r>
      <w:r>
        <w:rPr>
          <w:lang w:eastAsia="ja-JP"/>
        </w:rPr>
        <w:t>委員会の活動においては、国際人権法に基づく権利保護の「</w:t>
      </w:r>
      <w:r>
        <w:rPr>
          <w:rFonts w:hint="eastAsia"/>
          <w:lang w:eastAsia="ja-JP"/>
        </w:rPr>
        <w:t>優良実践例</w:t>
      </w:r>
      <w:r>
        <w:rPr>
          <w:lang w:eastAsia="ja-JP"/>
        </w:rPr>
        <w:t>」を大いに参考にし、それを自らの活動に取り入れています。例えば、障害のある人の権利や子どもの権利に対する我々のアプローチを形成する上で、国連障害者権利条約（UNCRPD）や国連児童の権利</w:t>
      </w:r>
      <w:r>
        <w:rPr>
          <w:lang w:eastAsia="ja-JP"/>
        </w:rPr>
        <w:lastRenderedPageBreak/>
        <w:t>条約（UNCRC）の実践は極めて重要な指針となっています。とはいえ、我々があらゆる状況下で自動的にそれらに従っているわけでは</w:t>
      </w:r>
      <w:r>
        <w:rPr>
          <w:rFonts w:hint="eastAsia"/>
          <w:lang w:eastAsia="ja-JP"/>
        </w:rPr>
        <w:t>ありません</w:t>
      </w:r>
      <w:r>
        <w:rPr>
          <w:lang w:eastAsia="ja-JP"/>
        </w:rPr>
        <w:t>。我々は自らの任務に従っており、場合によっては国連条約機関が行ったことよりもさらに踏み込んだ対応をとってきました。しかし、こうした国際的な法体系や実践は、「一般」委員会として特定の集団に関する社会的権利の問題に取り組む</w:t>
      </w:r>
      <w:r>
        <w:rPr>
          <w:rFonts w:hint="eastAsia"/>
          <w:lang w:eastAsia="ja-JP"/>
        </w:rPr>
        <w:t>我々</w:t>
      </w:r>
      <w:r>
        <w:rPr>
          <w:lang w:eastAsia="ja-JP"/>
        </w:rPr>
        <w:t>にとって、極めて重要な情報源、</w:t>
      </w:r>
      <w:r>
        <w:rPr>
          <w:rFonts w:hint="eastAsia"/>
          <w:lang w:eastAsia="ja-JP"/>
        </w:rPr>
        <w:t>着想</w:t>
      </w:r>
      <w:r>
        <w:rPr>
          <w:lang w:eastAsia="ja-JP"/>
        </w:rPr>
        <w:t>、原動力となっています。したがって、国連の基準は、世界レベルでの進展となるだけでなく、地域レベルにおける高齢者の権利の認識と実施を強化するための動機付けとしても機能するでしょう。</w:t>
      </w:r>
    </w:p>
    <w:p w14:paraId="761E2414" w14:textId="77777777" w:rsidR="00BF2212" w:rsidRDefault="00BF2212" w:rsidP="00BF2212">
      <w:pPr>
        <w:ind w:firstLineChars="100" w:firstLine="210"/>
        <w:rPr>
          <w:lang w:eastAsia="ja-JP"/>
        </w:rPr>
      </w:pPr>
      <w:r>
        <w:rPr>
          <w:lang w:eastAsia="ja-JP"/>
        </w:rPr>
        <w:t>第六に、国際条約は地域基準の欠点を是正する機会となります。第23条は「高齢者」について言及し、「高齢者が可能な限り長く社会の完全な一員であり続けられるようにする」と述べています。この後者の点は、高齢者の主体性や自律を損なう恐れがあります。現在、我々は解釈作業を通じてこの問題を回避してきました。新たな国際的な枠組みがあれば、そのような回避策を講じる必要はなくなります。</w:t>
      </w:r>
    </w:p>
    <w:p w14:paraId="7D5B0142" w14:textId="77777777" w:rsidR="00BF2212" w:rsidRDefault="00BF2212" w:rsidP="00BF2212">
      <w:pPr>
        <w:ind w:firstLineChars="100" w:firstLine="210"/>
        <w:rPr>
          <w:lang w:eastAsia="ja-JP"/>
        </w:rPr>
      </w:pPr>
      <w:r>
        <w:rPr>
          <w:lang w:eastAsia="ja-JP"/>
        </w:rPr>
        <w:t>最後に、こうした枠組みがなければ、国際レベルで高齢者の権利問題が不適切に扱われるリスクがあります。例えば、障害のある人の権利は、高齢者の権利問題に対処するためにますます頻繁に利用されていますが、そもそも高齢者を主眼として設計されたものではありません。これは、高齢者の権利の発展を阻害する恐れがあります。さらに、障害のある人の権利の枠組みが高齢者の問題</w:t>
      </w:r>
      <w:r>
        <w:rPr>
          <w:rFonts w:hint="eastAsia"/>
          <w:lang w:eastAsia="ja-JP"/>
        </w:rPr>
        <w:t>に関して何かを</w:t>
      </w:r>
      <w:r>
        <w:rPr>
          <w:lang w:eastAsia="ja-JP"/>
        </w:rPr>
        <w:t>付加するために利用される場合、障害のある人の権利に対してもリスクが生じ</w:t>
      </w:r>
      <w:r>
        <w:rPr>
          <w:rFonts w:hint="eastAsia"/>
          <w:lang w:eastAsia="ja-JP"/>
        </w:rPr>
        <w:t>ます</w:t>
      </w:r>
      <w:r>
        <w:rPr>
          <w:lang w:eastAsia="ja-JP"/>
        </w:rPr>
        <w:t>。障害のある人の権利の範囲と特異性を考慮すると、障害のある人とは権利や利益が大きく異なる場合もある高齢者グループに関連する重要課題を検討するために、</w:t>
      </w:r>
      <w:r>
        <w:rPr>
          <w:rFonts w:hint="eastAsia"/>
          <w:lang w:eastAsia="ja-JP"/>
        </w:rPr>
        <w:t>障害のある人</w:t>
      </w:r>
      <w:r>
        <w:rPr>
          <w:lang w:eastAsia="ja-JP"/>
        </w:rPr>
        <w:t>の枠組みに依存することは、障害のある人の権利の望ましくない歪曲や転用を招く恐れがあります。</w:t>
      </w:r>
    </w:p>
    <w:p w14:paraId="274C33B2" w14:textId="77777777" w:rsidR="00BF2212" w:rsidRDefault="00BF2212" w:rsidP="00BF2212">
      <w:pPr>
        <w:ind w:firstLineChars="100" w:firstLine="210"/>
        <w:rPr>
          <w:lang w:eastAsia="ja-JP"/>
        </w:rPr>
      </w:pPr>
      <w:r>
        <w:rPr>
          <w:lang w:eastAsia="ja-JP"/>
        </w:rPr>
        <w:t>そして、将来を見据えて、もしこの起草プロセスが真の勇気、野心、そして包摂性をもって進められるとしたら、今後10年以内にこの新しい条約によって、高齢者の日常生活においてどのような具体的かつ有意義な変化を最も期待</w:t>
      </w:r>
      <w:r>
        <w:rPr>
          <w:rFonts w:hint="eastAsia"/>
          <w:lang w:eastAsia="ja-JP"/>
        </w:rPr>
        <w:t>しますか</w:t>
      </w:r>
      <w:r>
        <w:rPr>
          <w:lang w:eastAsia="ja-JP"/>
        </w:rPr>
        <w:t>？</w:t>
      </w:r>
    </w:p>
    <w:p w14:paraId="3167EABD" w14:textId="77777777" w:rsidR="00BF2212" w:rsidRDefault="00BF2212" w:rsidP="00BF2212">
      <w:pPr>
        <w:ind w:firstLineChars="100" w:firstLine="210"/>
        <w:rPr>
          <w:lang w:eastAsia="ja-JP"/>
        </w:rPr>
      </w:pPr>
      <w:r>
        <w:rPr>
          <w:lang w:eastAsia="ja-JP"/>
        </w:rPr>
        <w:t>私にとっては、高齢者が、世代間の正義と連帯に関する、権利に基づく有意義な理解と実践に</w:t>
      </w:r>
      <w:r w:rsidRPr="002465D2">
        <w:rPr>
          <w:rFonts w:hint="eastAsia"/>
          <w:lang w:eastAsia="ja-JP"/>
        </w:rPr>
        <w:t>参加</w:t>
      </w:r>
      <w:r>
        <w:rPr>
          <w:lang w:eastAsia="ja-JP"/>
        </w:rPr>
        <w:t>し、その恩恵を受けることです。この条約は、世代間の正義や連帯という、やや曖昧で広</w:t>
      </w:r>
      <w:r>
        <w:rPr>
          <w:rFonts w:hint="eastAsia"/>
          <w:lang w:eastAsia="ja-JP"/>
        </w:rPr>
        <w:t>く</w:t>
      </w:r>
      <w:r>
        <w:rPr>
          <w:lang w:eastAsia="ja-JP"/>
        </w:rPr>
        <w:t>定義された概念を、漠然とした「実現したい理想」から、法的拘束力を持つ人権法の基準やメカニズムに直接結びついた概念へと転換するための枠組みとして機能することで、この点において重要な役割を果たすことになります。</w:t>
      </w:r>
      <w:r>
        <w:rPr>
          <w:rFonts w:hint="eastAsia"/>
          <w:lang w:eastAsia="ja-JP"/>
        </w:rPr>
        <w:t xml:space="preserve">　</w:t>
      </w:r>
    </w:p>
    <w:p w14:paraId="7AA51B8A" w14:textId="77777777" w:rsidR="00BF2212" w:rsidRDefault="00BF2212" w:rsidP="00BF2212">
      <w:pPr>
        <w:rPr>
          <w:lang w:eastAsia="ja-JP"/>
        </w:rPr>
      </w:pPr>
    </w:p>
    <w:p w14:paraId="2B1E76E5" w14:textId="77777777" w:rsidR="00BF2212" w:rsidRDefault="00BF2212" w:rsidP="00BF2212">
      <w:pPr>
        <w:ind w:firstLineChars="100" w:firstLine="210"/>
        <w:jc w:val="right"/>
        <w:rPr>
          <w:lang w:eastAsia="ja-JP"/>
        </w:rPr>
      </w:pPr>
      <w:r>
        <w:rPr>
          <w:rFonts w:hint="eastAsia"/>
          <w:lang w:eastAsia="ja-JP"/>
        </w:rPr>
        <w:t>（翻訳・佐藤久夫、鈴木靜）</w:t>
      </w:r>
    </w:p>
    <w:p w14:paraId="710193B7" w14:textId="77777777" w:rsidR="000B2AFD" w:rsidRDefault="000B2AFD"/>
    <w:sectPr w:rsidR="000B2AFD" w:rsidSect="006A05DC">
      <w:footerReference w:type="even" r:id="rId6"/>
      <w:footerReference w:type="first" r:id="rId7"/>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8E6CF" w14:textId="77777777" w:rsidR="00BF2212" w:rsidRDefault="00BF2212" w:rsidP="00BF2212">
      <w:r>
        <w:separator/>
      </w:r>
    </w:p>
  </w:endnote>
  <w:endnote w:type="continuationSeparator" w:id="0">
    <w:p w14:paraId="16A16F45" w14:textId="77777777" w:rsidR="00BF2212" w:rsidRDefault="00BF2212" w:rsidP="00BF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351690"/>
      <w:docPartObj>
        <w:docPartGallery w:val="Page Numbers (Bottom of Page)"/>
        <w:docPartUnique/>
      </w:docPartObj>
    </w:sdtPr>
    <w:sdtContent>
      <w:p w14:paraId="7EDB4123" w14:textId="1FD6C4B9" w:rsidR="00BF2212" w:rsidRDefault="00BF2212">
        <w:pPr>
          <w:pStyle w:val="ac"/>
        </w:pPr>
        <w:r>
          <w:fldChar w:fldCharType="begin"/>
        </w:r>
        <w:r>
          <w:instrText>PAGE   \* MERGEFORMAT</w:instrText>
        </w:r>
        <w:r>
          <w:fldChar w:fldCharType="separate"/>
        </w:r>
        <w:r>
          <w:rPr>
            <w:lang w:val="ja-JP" w:eastAsia="ja-JP"/>
          </w:rPr>
          <w:t>2</w:t>
        </w:r>
        <w:r>
          <w:fldChar w:fldCharType="end"/>
        </w:r>
      </w:p>
    </w:sdtContent>
  </w:sdt>
  <w:p w14:paraId="5AC94685" w14:textId="77777777" w:rsidR="00BF2212" w:rsidRDefault="00BF221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934516"/>
      <w:docPartObj>
        <w:docPartGallery w:val="Page Numbers (Bottom of Page)"/>
        <w:docPartUnique/>
      </w:docPartObj>
    </w:sdtPr>
    <w:sdtContent>
      <w:p w14:paraId="4DAC07B6" w14:textId="2402C606" w:rsidR="00BF2212" w:rsidRDefault="00BF2212">
        <w:pPr>
          <w:pStyle w:val="ac"/>
        </w:pPr>
        <w:r>
          <w:fldChar w:fldCharType="begin"/>
        </w:r>
        <w:r>
          <w:instrText>PAGE   \* MERGEFORMAT</w:instrText>
        </w:r>
        <w:r>
          <w:fldChar w:fldCharType="separate"/>
        </w:r>
        <w:r>
          <w:rPr>
            <w:lang w:val="ja-JP" w:eastAsia="ja-JP"/>
          </w:rPr>
          <w:t>2</w:t>
        </w:r>
        <w:r>
          <w:fldChar w:fldCharType="end"/>
        </w:r>
      </w:p>
    </w:sdtContent>
  </w:sdt>
  <w:p w14:paraId="5D32EBE1" w14:textId="77777777" w:rsidR="00BF2212" w:rsidRDefault="00BF22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E075D" w14:textId="77777777" w:rsidR="00BF2212" w:rsidRDefault="00BF2212" w:rsidP="00BF2212">
      <w:r>
        <w:separator/>
      </w:r>
    </w:p>
  </w:footnote>
  <w:footnote w:type="continuationSeparator" w:id="0">
    <w:p w14:paraId="04D9C628" w14:textId="77777777" w:rsidR="00BF2212" w:rsidRDefault="00BF2212" w:rsidP="00BF2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12"/>
    <w:rsid w:val="000B2AFD"/>
    <w:rsid w:val="00152B39"/>
    <w:rsid w:val="003126F0"/>
    <w:rsid w:val="003A6E34"/>
    <w:rsid w:val="00692D7C"/>
    <w:rsid w:val="006A05DC"/>
    <w:rsid w:val="00AF582A"/>
    <w:rsid w:val="00B37471"/>
    <w:rsid w:val="00BF2212"/>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2CF10B"/>
  <w15:chartTrackingRefBased/>
  <w15:docId w15:val="{8D636BAE-2A1A-4054-9762-FEA6CD9A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212"/>
    <w:pPr>
      <w:widowControl w:val="0"/>
      <w:jc w:val="both"/>
    </w:pPr>
  </w:style>
  <w:style w:type="paragraph" w:styleId="1">
    <w:name w:val="heading 1"/>
    <w:basedOn w:val="a"/>
    <w:next w:val="a"/>
    <w:link w:val="10"/>
    <w:uiPriority w:val="9"/>
    <w:qFormat/>
    <w:rsid w:val="00BF22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22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22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22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22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22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22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22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22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22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22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22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22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22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22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22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22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22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22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22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22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22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2212"/>
    <w:pPr>
      <w:spacing w:before="160" w:after="160"/>
      <w:jc w:val="center"/>
    </w:pPr>
    <w:rPr>
      <w:i/>
      <w:iCs/>
      <w:color w:val="404040" w:themeColor="text1" w:themeTint="BF"/>
    </w:rPr>
  </w:style>
  <w:style w:type="character" w:customStyle="1" w:styleId="a8">
    <w:name w:val="引用文 (文字)"/>
    <w:basedOn w:val="a0"/>
    <w:link w:val="a7"/>
    <w:uiPriority w:val="29"/>
    <w:rsid w:val="00BF2212"/>
    <w:rPr>
      <w:i/>
      <w:iCs/>
      <w:color w:val="404040" w:themeColor="text1" w:themeTint="BF"/>
    </w:rPr>
  </w:style>
  <w:style w:type="paragraph" w:styleId="a9">
    <w:name w:val="List Paragraph"/>
    <w:basedOn w:val="a"/>
    <w:uiPriority w:val="34"/>
    <w:qFormat/>
    <w:rsid w:val="00BF2212"/>
    <w:pPr>
      <w:ind w:left="720"/>
      <w:contextualSpacing/>
    </w:pPr>
  </w:style>
  <w:style w:type="character" w:styleId="21">
    <w:name w:val="Intense Emphasis"/>
    <w:basedOn w:val="a0"/>
    <w:uiPriority w:val="21"/>
    <w:qFormat/>
    <w:rsid w:val="00BF2212"/>
    <w:rPr>
      <w:i/>
      <w:iCs/>
      <w:color w:val="2F5496" w:themeColor="accent1" w:themeShade="BF"/>
    </w:rPr>
  </w:style>
  <w:style w:type="paragraph" w:styleId="22">
    <w:name w:val="Intense Quote"/>
    <w:basedOn w:val="a"/>
    <w:next w:val="a"/>
    <w:link w:val="23"/>
    <w:uiPriority w:val="30"/>
    <w:qFormat/>
    <w:rsid w:val="00BF2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F2212"/>
    <w:rPr>
      <w:i/>
      <w:iCs/>
      <w:color w:val="2F5496" w:themeColor="accent1" w:themeShade="BF"/>
    </w:rPr>
  </w:style>
  <w:style w:type="character" w:styleId="24">
    <w:name w:val="Intense Reference"/>
    <w:basedOn w:val="a0"/>
    <w:uiPriority w:val="32"/>
    <w:qFormat/>
    <w:rsid w:val="00BF2212"/>
    <w:rPr>
      <w:b/>
      <w:bCs/>
      <w:smallCaps/>
      <w:color w:val="2F5496" w:themeColor="accent1" w:themeShade="BF"/>
      <w:spacing w:val="5"/>
    </w:rPr>
  </w:style>
  <w:style w:type="paragraph" w:styleId="aa">
    <w:name w:val="header"/>
    <w:basedOn w:val="a"/>
    <w:link w:val="ab"/>
    <w:uiPriority w:val="99"/>
    <w:unhideWhenUsed/>
    <w:rsid w:val="00BF2212"/>
    <w:pPr>
      <w:tabs>
        <w:tab w:val="center" w:pos="4252"/>
        <w:tab w:val="right" w:pos="8504"/>
      </w:tabs>
      <w:snapToGrid w:val="0"/>
    </w:pPr>
  </w:style>
  <w:style w:type="character" w:customStyle="1" w:styleId="ab">
    <w:name w:val="ヘッダー (文字)"/>
    <w:basedOn w:val="a0"/>
    <w:link w:val="aa"/>
    <w:uiPriority w:val="99"/>
    <w:rsid w:val="00BF2212"/>
  </w:style>
  <w:style w:type="paragraph" w:styleId="ac">
    <w:name w:val="footer"/>
    <w:basedOn w:val="a"/>
    <w:link w:val="ad"/>
    <w:uiPriority w:val="99"/>
    <w:unhideWhenUsed/>
    <w:rsid w:val="00BF2212"/>
    <w:pPr>
      <w:tabs>
        <w:tab w:val="center" w:pos="4252"/>
        <w:tab w:val="right" w:pos="8504"/>
      </w:tabs>
      <w:snapToGrid w:val="0"/>
    </w:pPr>
  </w:style>
  <w:style w:type="character" w:customStyle="1" w:styleId="ad">
    <w:name w:val="フッター (文字)"/>
    <w:basedOn w:val="a0"/>
    <w:link w:val="ac"/>
    <w:uiPriority w:val="99"/>
    <w:rsid w:val="00BF2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2026-05-28T03:31:00Z</dcterms:created>
  <dcterms:modified xsi:type="dcterms:W3CDTF">2026-05-28T03:49:00Z</dcterms:modified>
</cp:coreProperties>
</file>